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C80" w:rsidRPr="00932B37" w:rsidRDefault="00000000" w:rsidP="00932B37">
      <w:pPr>
        <w:autoSpaceDE w:val="0"/>
        <w:autoSpaceDN w:val="0"/>
        <w:adjustRightInd w:val="0"/>
        <w:spacing w:after="0" w:line="240" w:lineRule="auto"/>
        <w:ind w:firstLine="720"/>
        <w:rPr>
          <w:rFonts w:cstheme="minorHAnsi"/>
          <w:sz w:val="32"/>
          <w:szCs w:val="32"/>
        </w:rPr>
      </w:pPr>
      <w:r>
        <w:rPr>
          <w:rFonts w:cstheme="minorHAnsi"/>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A picture containing logo&#10;&#10;Description automatically generated" style="position:absolute;left:0;text-align:left;margin-left:-18.55pt;margin-top:0;width:101.25pt;height:100pt;z-index:-251658752" wrapcoords="-153 154 -153 21600 21753 21600 21753 154 -153 154" filled="t" fillcolor="#9c0">
            <v:imagedata r:id="rId8" o:title=""/>
            <w10:wrap type="square"/>
          </v:shape>
          <o:OLEObject Type="Embed" ProgID="PBrush" ShapeID="_x0000_s2050" DrawAspect="Content" ObjectID="_1748773769" r:id="rId9"/>
        </w:object>
      </w:r>
    </w:p>
    <w:p w:rsidR="00452E4B" w:rsidRPr="00932B37" w:rsidRDefault="00452E4B" w:rsidP="003376B8">
      <w:pPr>
        <w:autoSpaceDE w:val="0"/>
        <w:autoSpaceDN w:val="0"/>
        <w:adjustRightInd w:val="0"/>
        <w:spacing w:after="0" w:line="240" w:lineRule="auto"/>
        <w:ind w:firstLine="720"/>
        <w:rPr>
          <w:rFonts w:cstheme="minorHAnsi"/>
          <w:b/>
          <w:bCs/>
          <w:sz w:val="36"/>
          <w:szCs w:val="36"/>
        </w:rPr>
      </w:pPr>
      <w:r w:rsidRPr="00932B37">
        <w:rPr>
          <w:rFonts w:cstheme="minorHAnsi"/>
          <w:b/>
          <w:bCs/>
          <w:sz w:val="36"/>
          <w:szCs w:val="36"/>
        </w:rPr>
        <w:t>EDITH WESTON PARISH COUNCIL</w:t>
      </w:r>
    </w:p>
    <w:p w:rsidR="00452E4B" w:rsidRPr="00932B37" w:rsidRDefault="00452E4B" w:rsidP="00932B37">
      <w:pPr>
        <w:autoSpaceDE w:val="0"/>
        <w:autoSpaceDN w:val="0"/>
        <w:adjustRightInd w:val="0"/>
        <w:spacing w:after="0" w:line="240" w:lineRule="auto"/>
        <w:rPr>
          <w:rFonts w:cstheme="minorHAnsi"/>
          <w:sz w:val="24"/>
          <w:szCs w:val="24"/>
        </w:rPr>
      </w:pPr>
    </w:p>
    <w:p w:rsidR="00932B37" w:rsidRDefault="00D57FA2" w:rsidP="003376B8">
      <w:pPr>
        <w:autoSpaceDE w:val="0"/>
        <w:autoSpaceDN w:val="0"/>
        <w:adjustRightInd w:val="0"/>
        <w:spacing w:after="0" w:line="240" w:lineRule="auto"/>
        <w:ind w:left="3600" w:firstLine="720"/>
        <w:rPr>
          <w:rFonts w:cstheme="minorHAnsi"/>
          <w:b/>
          <w:bCs/>
          <w:sz w:val="32"/>
          <w:szCs w:val="32"/>
        </w:rPr>
      </w:pPr>
      <w:r>
        <w:rPr>
          <w:rFonts w:cstheme="minorHAnsi"/>
          <w:b/>
          <w:bCs/>
          <w:sz w:val="32"/>
          <w:szCs w:val="32"/>
        </w:rPr>
        <w:t>Reserves</w:t>
      </w:r>
      <w:r w:rsidR="00B47F51">
        <w:rPr>
          <w:rFonts w:cstheme="minorHAnsi"/>
          <w:b/>
          <w:bCs/>
          <w:sz w:val="32"/>
          <w:szCs w:val="32"/>
        </w:rPr>
        <w:t xml:space="preserve"> Policy</w:t>
      </w:r>
    </w:p>
    <w:p w:rsidR="00E620E6" w:rsidRPr="00932B37" w:rsidRDefault="00E620E6" w:rsidP="00932B37">
      <w:pPr>
        <w:autoSpaceDE w:val="0"/>
        <w:autoSpaceDN w:val="0"/>
        <w:adjustRightInd w:val="0"/>
        <w:spacing w:after="0" w:line="240" w:lineRule="auto"/>
        <w:jc w:val="center"/>
        <w:rPr>
          <w:rFonts w:cstheme="minorHAnsi"/>
          <w:b/>
          <w:bCs/>
          <w:sz w:val="32"/>
          <w:szCs w:val="32"/>
        </w:rPr>
      </w:pPr>
    </w:p>
    <w:p w:rsidR="00932B37" w:rsidRPr="00932B37" w:rsidRDefault="00932B37" w:rsidP="00932B37">
      <w:pPr>
        <w:autoSpaceDE w:val="0"/>
        <w:autoSpaceDN w:val="0"/>
        <w:adjustRightInd w:val="0"/>
        <w:spacing w:after="0" w:line="240" w:lineRule="auto"/>
        <w:rPr>
          <w:rFonts w:cstheme="minorHAnsi"/>
          <w:sz w:val="24"/>
          <w:szCs w:val="24"/>
        </w:rPr>
      </w:pPr>
    </w:p>
    <w:p w:rsidR="00932B37" w:rsidRPr="003376B8" w:rsidRDefault="00D57FA2" w:rsidP="00932B37">
      <w:pPr>
        <w:pStyle w:val="ListParagraph"/>
        <w:numPr>
          <w:ilvl w:val="0"/>
          <w:numId w:val="18"/>
        </w:numPr>
        <w:autoSpaceDE w:val="0"/>
        <w:autoSpaceDN w:val="0"/>
        <w:adjustRightInd w:val="0"/>
        <w:spacing w:after="0" w:line="240" w:lineRule="auto"/>
        <w:rPr>
          <w:rFonts w:cstheme="minorHAnsi"/>
          <w:b/>
          <w:bCs/>
          <w:sz w:val="28"/>
          <w:szCs w:val="28"/>
        </w:rPr>
      </w:pPr>
      <w:r w:rsidRPr="003376B8">
        <w:rPr>
          <w:rFonts w:cstheme="minorHAnsi"/>
          <w:b/>
          <w:bCs/>
          <w:sz w:val="28"/>
          <w:szCs w:val="28"/>
        </w:rPr>
        <w:t>Introduction</w:t>
      </w:r>
      <w:r w:rsidR="00932B37" w:rsidRPr="003376B8">
        <w:rPr>
          <w:rFonts w:cstheme="minorHAnsi"/>
          <w:b/>
          <w:bCs/>
          <w:sz w:val="28"/>
          <w:szCs w:val="28"/>
        </w:rPr>
        <w:t xml:space="preserve"> </w:t>
      </w:r>
    </w:p>
    <w:p w:rsidR="00932B37" w:rsidRDefault="00932B37" w:rsidP="00932B37">
      <w:pPr>
        <w:pStyle w:val="ListParagraph"/>
        <w:autoSpaceDE w:val="0"/>
        <w:autoSpaceDN w:val="0"/>
        <w:adjustRightInd w:val="0"/>
        <w:spacing w:after="0" w:line="240" w:lineRule="auto"/>
        <w:ind w:left="360"/>
        <w:rPr>
          <w:rFonts w:cstheme="minorHAnsi"/>
          <w:sz w:val="24"/>
          <w:szCs w:val="24"/>
        </w:rPr>
      </w:pPr>
    </w:p>
    <w:p w:rsidR="00D57FA2" w:rsidRDefault="00D57FA2" w:rsidP="00932B37">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Edith Weston</w:t>
      </w:r>
      <w:r w:rsidR="0057271B" w:rsidRPr="0057271B">
        <w:rPr>
          <w:rFonts w:cstheme="minorHAnsi"/>
          <w:sz w:val="24"/>
          <w:szCs w:val="24"/>
        </w:rPr>
        <w:t xml:space="preserve"> Parish Council is required to maintain adequate financial reserves to meet the needs of the organisation. </w:t>
      </w:r>
    </w:p>
    <w:p w:rsidR="00D57FA2" w:rsidRDefault="00D57FA2" w:rsidP="00D57FA2">
      <w:pPr>
        <w:pStyle w:val="ListParagraph"/>
        <w:autoSpaceDE w:val="0"/>
        <w:autoSpaceDN w:val="0"/>
        <w:adjustRightInd w:val="0"/>
        <w:spacing w:after="0" w:line="240" w:lineRule="auto"/>
        <w:ind w:left="792"/>
        <w:rPr>
          <w:rFonts w:cstheme="minorHAnsi"/>
          <w:sz w:val="24"/>
          <w:szCs w:val="24"/>
        </w:rPr>
      </w:pPr>
    </w:p>
    <w:p w:rsidR="00D57FA2" w:rsidRDefault="0057271B" w:rsidP="00932B37">
      <w:pPr>
        <w:pStyle w:val="ListParagraph"/>
        <w:numPr>
          <w:ilvl w:val="1"/>
          <w:numId w:val="18"/>
        </w:numPr>
        <w:autoSpaceDE w:val="0"/>
        <w:autoSpaceDN w:val="0"/>
        <w:adjustRightInd w:val="0"/>
        <w:spacing w:after="0" w:line="240" w:lineRule="auto"/>
        <w:rPr>
          <w:rFonts w:cstheme="minorHAnsi"/>
          <w:sz w:val="24"/>
          <w:szCs w:val="24"/>
        </w:rPr>
      </w:pPr>
      <w:r w:rsidRPr="0057271B">
        <w:rPr>
          <w:rFonts w:cstheme="minorHAnsi"/>
          <w:sz w:val="24"/>
          <w:szCs w:val="24"/>
        </w:rPr>
        <w:t xml:space="preserve">The purpose of this policy is to set out how the Council will determine and review the level of reserves. Section 50 of the Local Government Finance Act 1992 requires that billing and precepting authorities in England and Wales have regard to the level of reserves needed to meet estimated future expenditure when calculating the budget requirement. In the publication - Governance and Accountability for Local Councils – A Practitioners Guide (England) 2010, section 2.26 refers: Earmarked reserves, which are set aside for specific purposes and for savings for future projects, should be realistic and approved by the Council. </w:t>
      </w:r>
    </w:p>
    <w:p w:rsidR="00D57FA2" w:rsidRPr="00D57FA2" w:rsidRDefault="00D57FA2" w:rsidP="00D57FA2">
      <w:pPr>
        <w:autoSpaceDE w:val="0"/>
        <w:autoSpaceDN w:val="0"/>
        <w:adjustRightInd w:val="0"/>
        <w:spacing w:after="0" w:line="240" w:lineRule="auto"/>
        <w:rPr>
          <w:rFonts w:cstheme="minorHAnsi"/>
          <w:sz w:val="24"/>
          <w:szCs w:val="24"/>
        </w:rPr>
      </w:pPr>
    </w:p>
    <w:p w:rsidR="00D57FA2" w:rsidRDefault="0057271B" w:rsidP="00932B37">
      <w:pPr>
        <w:pStyle w:val="ListParagraph"/>
        <w:numPr>
          <w:ilvl w:val="1"/>
          <w:numId w:val="18"/>
        </w:numPr>
        <w:autoSpaceDE w:val="0"/>
        <w:autoSpaceDN w:val="0"/>
        <w:adjustRightInd w:val="0"/>
        <w:spacing w:after="0" w:line="240" w:lineRule="auto"/>
        <w:rPr>
          <w:rFonts w:cstheme="minorHAnsi"/>
          <w:sz w:val="24"/>
          <w:szCs w:val="24"/>
        </w:rPr>
      </w:pPr>
      <w:r w:rsidRPr="0057271B">
        <w:rPr>
          <w:rFonts w:cstheme="minorHAnsi"/>
          <w:sz w:val="24"/>
          <w:szCs w:val="24"/>
        </w:rPr>
        <w:t>It is generally accepted that general (</w:t>
      </w:r>
      <w:r w:rsidR="003376B8" w:rsidRPr="0057271B">
        <w:rPr>
          <w:rFonts w:cstheme="minorHAnsi"/>
          <w:sz w:val="24"/>
          <w:szCs w:val="24"/>
        </w:rPr>
        <w:t>i.e.,</w:t>
      </w:r>
      <w:r w:rsidRPr="0057271B">
        <w:rPr>
          <w:rFonts w:cstheme="minorHAnsi"/>
          <w:sz w:val="24"/>
          <w:szCs w:val="24"/>
        </w:rPr>
        <w:t xml:space="preserve"> un-earmarked) revenue reserves usually lie within the range of three to twelve months of gross expenditure. However, the amount of general reserve should be risk assessed by the Council</w:t>
      </w:r>
      <w:r w:rsidR="00D57FA2">
        <w:rPr>
          <w:rFonts w:cstheme="minorHAnsi"/>
          <w:sz w:val="24"/>
          <w:szCs w:val="24"/>
        </w:rPr>
        <w:t xml:space="preserve">. </w:t>
      </w:r>
      <w:r w:rsidRPr="0057271B">
        <w:rPr>
          <w:rFonts w:cstheme="minorHAnsi"/>
          <w:sz w:val="24"/>
          <w:szCs w:val="24"/>
        </w:rPr>
        <w:t xml:space="preserve"> There is no specified minimum level of reserves that an authority should hold. </w:t>
      </w:r>
    </w:p>
    <w:p w:rsidR="00D57FA2" w:rsidRPr="00D57FA2" w:rsidRDefault="00D57FA2" w:rsidP="00D57FA2">
      <w:pPr>
        <w:pStyle w:val="ListParagraph"/>
        <w:rPr>
          <w:rFonts w:cstheme="minorHAnsi"/>
          <w:sz w:val="24"/>
          <w:szCs w:val="24"/>
        </w:rPr>
      </w:pPr>
    </w:p>
    <w:p w:rsidR="00D57FA2" w:rsidRDefault="0057271B" w:rsidP="00932B37">
      <w:pPr>
        <w:pStyle w:val="ListParagraph"/>
        <w:numPr>
          <w:ilvl w:val="1"/>
          <w:numId w:val="18"/>
        </w:numPr>
        <w:autoSpaceDE w:val="0"/>
        <w:autoSpaceDN w:val="0"/>
        <w:adjustRightInd w:val="0"/>
        <w:spacing w:after="0" w:line="240" w:lineRule="auto"/>
        <w:rPr>
          <w:rFonts w:cstheme="minorHAnsi"/>
          <w:sz w:val="24"/>
          <w:szCs w:val="24"/>
        </w:rPr>
      </w:pPr>
      <w:r w:rsidRPr="0057271B">
        <w:rPr>
          <w:rFonts w:cstheme="minorHAnsi"/>
          <w:sz w:val="24"/>
          <w:szCs w:val="24"/>
        </w:rPr>
        <w:t xml:space="preserve">It is the responsibility of the Responsible Financial Officer to advise the Council about the level of reserves and to ensure that there are procedures for their establishment and use. </w:t>
      </w:r>
    </w:p>
    <w:p w:rsidR="00D57FA2" w:rsidRPr="00D57FA2" w:rsidRDefault="00D57FA2" w:rsidP="00D57FA2">
      <w:pPr>
        <w:pStyle w:val="ListParagraph"/>
        <w:rPr>
          <w:rFonts w:cstheme="minorHAnsi"/>
          <w:sz w:val="24"/>
          <w:szCs w:val="24"/>
        </w:rPr>
      </w:pPr>
    </w:p>
    <w:p w:rsidR="00D57FA2" w:rsidRDefault="0057271B" w:rsidP="00932B37">
      <w:pPr>
        <w:pStyle w:val="ListParagraph"/>
        <w:numPr>
          <w:ilvl w:val="1"/>
          <w:numId w:val="18"/>
        </w:numPr>
        <w:autoSpaceDE w:val="0"/>
        <w:autoSpaceDN w:val="0"/>
        <w:adjustRightInd w:val="0"/>
        <w:spacing w:after="0" w:line="240" w:lineRule="auto"/>
        <w:rPr>
          <w:rFonts w:cstheme="minorHAnsi"/>
          <w:sz w:val="24"/>
          <w:szCs w:val="24"/>
        </w:rPr>
      </w:pPr>
      <w:r w:rsidRPr="0057271B">
        <w:rPr>
          <w:rFonts w:cstheme="minorHAnsi"/>
          <w:sz w:val="24"/>
          <w:szCs w:val="24"/>
        </w:rPr>
        <w:t xml:space="preserve">The Council’s policy on the establishment, maintenance and adequacy of reserves and balances will be considered annually. </w:t>
      </w:r>
    </w:p>
    <w:p w:rsidR="00D57FA2" w:rsidRPr="00D57FA2" w:rsidRDefault="00D57FA2" w:rsidP="00D57FA2">
      <w:pPr>
        <w:pStyle w:val="ListParagraph"/>
        <w:rPr>
          <w:rFonts w:cstheme="minorHAnsi"/>
          <w:sz w:val="24"/>
          <w:szCs w:val="24"/>
        </w:rPr>
      </w:pPr>
    </w:p>
    <w:p w:rsidR="00D57FA2" w:rsidRDefault="0057271B" w:rsidP="00932B37">
      <w:pPr>
        <w:pStyle w:val="ListParagraph"/>
        <w:numPr>
          <w:ilvl w:val="1"/>
          <w:numId w:val="18"/>
        </w:numPr>
        <w:autoSpaceDE w:val="0"/>
        <w:autoSpaceDN w:val="0"/>
        <w:adjustRightInd w:val="0"/>
        <w:spacing w:after="0" w:line="240" w:lineRule="auto"/>
        <w:rPr>
          <w:rFonts w:cstheme="minorHAnsi"/>
          <w:sz w:val="24"/>
          <w:szCs w:val="24"/>
        </w:rPr>
      </w:pPr>
      <w:r w:rsidRPr="0057271B">
        <w:rPr>
          <w:rFonts w:cstheme="minorHAnsi"/>
          <w:sz w:val="24"/>
          <w:szCs w:val="24"/>
        </w:rPr>
        <w:t xml:space="preserve">The Council will hold reserves for three main purposes: </w:t>
      </w:r>
    </w:p>
    <w:p w:rsidR="00D57FA2" w:rsidRPr="00D57FA2" w:rsidRDefault="00D57FA2" w:rsidP="00D57FA2">
      <w:pPr>
        <w:pStyle w:val="ListParagraph"/>
        <w:rPr>
          <w:rFonts w:cstheme="minorHAnsi"/>
          <w:sz w:val="24"/>
          <w:szCs w:val="24"/>
        </w:rPr>
      </w:pPr>
    </w:p>
    <w:p w:rsidR="00D57FA2" w:rsidRDefault="0057271B" w:rsidP="003376B8">
      <w:pPr>
        <w:pStyle w:val="ListParagraph"/>
        <w:autoSpaceDE w:val="0"/>
        <w:autoSpaceDN w:val="0"/>
        <w:adjustRightInd w:val="0"/>
        <w:spacing w:after="0" w:line="240" w:lineRule="auto"/>
        <w:ind w:left="964" w:hanging="170"/>
        <w:rPr>
          <w:rFonts w:cstheme="minorHAnsi"/>
          <w:sz w:val="24"/>
          <w:szCs w:val="24"/>
        </w:rPr>
      </w:pPr>
      <w:r w:rsidRPr="0057271B">
        <w:rPr>
          <w:rFonts w:cstheme="minorHAnsi"/>
          <w:sz w:val="24"/>
          <w:szCs w:val="24"/>
        </w:rPr>
        <w:sym w:font="Symbol" w:char="F0B7"/>
      </w:r>
      <w:r w:rsidRPr="0057271B">
        <w:rPr>
          <w:rFonts w:cstheme="minorHAnsi"/>
          <w:sz w:val="24"/>
          <w:szCs w:val="24"/>
        </w:rPr>
        <w:t xml:space="preserve"> A working balance to help cushion the impact of uneven cash flows and avoid unnecessary temporary borrowing - this forms part of the general reserves </w:t>
      </w:r>
    </w:p>
    <w:p w:rsidR="00D57FA2" w:rsidRDefault="0057271B" w:rsidP="003376B8">
      <w:pPr>
        <w:pStyle w:val="ListParagraph"/>
        <w:autoSpaceDE w:val="0"/>
        <w:autoSpaceDN w:val="0"/>
        <w:adjustRightInd w:val="0"/>
        <w:spacing w:after="0" w:line="240" w:lineRule="auto"/>
        <w:ind w:left="964" w:hanging="170"/>
        <w:rPr>
          <w:rFonts w:cstheme="minorHAnsi"/>
          <w:sz w:val="24"/>
          <w:szCs w:val="24"/>
        </w:rPr>
      </w:pPr>
      <w:r w:rsidRPr="0057271B">
        <w:rPr>
          <w:rFonts w:cstheme="minorHAnsi"/>
          <w:sz w:val="24"/>
          <w:szCs w:val="24"/>
        </w:rPr>
        <w:sym w:font="Symbol" w:char="F0B7"/>
      </w:r>
      <w:r w:rsidRPr="0057271B">
        <w:rPr>
          <w:rFonts w:cstheme="minorHAnsi"/>
          <w:sz w:val="24"/>
          <w:szCs w:val="24"/>
        </w:rPr>
        <w:t xml:space="preserve"> A contingency to cushion the impact of unexpected events or emergencies – this also forms parts of general reserves </w:t>
      </w:r>
    </w:p>
    <w:p w:rsidR="00D57FA2" w:rsidRDefault="0057271B" w:rsidP="003376B8">
      <w:pPr>
        <w:pStyle w:val="ListParagraph"/>
        <w:autoSpaceDE w:val="0"/>
        <w:autoSpaceDN w:val="0"/>
        <w:adjustRightInd w:val="0"/>
        <w:spacing w:after="0" w:line="240" w:lineRule="auto"/>
        <w:ind w:left="964" w:hanging="170"/>
        <w:rPr>
          <w:rFonts w:cstheme="minorHAnsi"/>
          <w:sz w:val="24"/>
          <w:szCs w:val="24"/>
        </w:rPr>
      </w:pPr>
      <w:r w:rsidRPr="0057271B">
        <w:rPr>
          <w:rFonts w:cstheme="minorHAnsi"/>
          <w:sz w:val="24"/>
          <w:szCs w:val="24"/>
        </w:rPr>
        <w:sym w:font="Symbol" w:char="F0B7"/>
      </w:r>
      <w:r w:rsidRPr="0057271B">
        <w:rPr>
          <w:rFonts w:cstheme="minorHAnsi"/>
          <w:sz w:val="24"/>
          <w:szCs w:val="24"/>
        </w:rPr>
        <w:t xml:space="preserve"> A means of building up funds, often referred to as earmarked reserves, to meet known or predicted requirements; earmarked reserves are accounted for separately but remain legally part of the general fund. </w:t>
      </w:r>
    </w:p>
    <w:p w:rsidR="00D57FA2" w:rsidRDefault="00D57FA2" w:rsidP="00D57FA2">
      <w:pPr>
        <w:pStyle w:val="ListParagraph"/>
        <w:autoSpaceDE w:val="0"/>
        <w:autoSpaceDN w:val="0"/>
        <w:adjustRightInd w:val="0"/>
        <w:spacing w:after="0" w:line="240" w:lineRule="auto"/>
        <w:ind w:left="1440"/>
        <w:rPr>
          <w:rFonts w:cstheme="minorHAnsi"/>
          <w:sz w:val="24"/>
          <w:szCs w:val="24"/>
        </w:rPr>
      </w:pPr>
    </w:p>
    <w:p w:rsidR="00D57FA2" w:rsidRPr="003376B8" w:rsidRDefault="0057271B" w:rsidP="00D57FA2">
      <w:pPr>
        <w:pStyle w:val="ListParagraph"/>
        <w:numPr>
          <w:ilvl w:val="0"/>
          <w:numId w:val="18"/>
        </w:numPr>
        <w:autoSpaceDE w:val="0"/>
        <w:autoSpaceDN w:val="0"/>
        <w:adjustRightInd w:val="0"/>
        <w:spacing w:after="0" w:line="240" w:lineRule="auto"/>
        <w:rPr>
          <w:rFonts w:cstheme="minorHAnsi"/>
          <w:b/>
          <w:bCs/>
          <w:sz w:val="28"/>
          <w:szCs w:val="28"/>
        </w:rPr>
      </w:pPr>
      <w:r w:rsidRPr="003376B8">
        <w:rPr>
          <w:rFonts w:cstheme="minorHAnsi"/>
          <w:b/>
          <w:bCs/>
          <w:sz w:val="28"/>
          <w:szCs w:val="28"/>
        </w:rPr>
        <w:t>General Fund</w:t>
      </w:r>
    </w:p>
    <w:p w:rsidR="00D57FA2" w:rsidRPr="00D57FA2" w:rsidRDefault="00D57FA2" w:rsidP="00D57FA2">
      <w:pPr>
        <w:autoSpaceDE w:val="0"/>
        <w:autoSpaceDN w:val="0"/>
        <w:adjustRightInd w:val="0"/>
        <w:spacing w:after="0" w:line="240" w:lineRule="auto"/>
        <w:rPr>
          <w:rFonts w:cstheme="minorHAnsi"/>
          <w:sz w:val="24"/>
          <w:szCs w:val="24"/>
        </w:rPr>
      </w:pPr>
    </w:p>
    <w:p w:rsidR="00D57FA2" w:rsidRDefault="0057271B" w:rsidP="00D57FA2">
      <w:pPr>
        <w:pStyle w:val="ListParagraph"/>
        <w:numPr>
          <w:ilvl w:val="1"/>
          <w:numId w:val="18"/>
        </w:numPr>
        <w:autoSpaceDE w:val="0"/>
        <w:autoSpaceDN w:val="0"/>
        <w:adjustRightInd w:val="0"/>
        <w:spacing w:after="0" w:line="240" w:lineRule="auto"/>
        <w:rPr>
          <w:rFonts w:cstheme="minorHAnsi"/>
          <w:sz w:val="24"/>
          <w:szCs w:val="24"/>
        </w:rPr>
      </w:pPr>
      <w:r w:rsidRPr="00D57FA2">
        <w:rPr>
          <w:rFonts w:cstheme="minorHAnsi"/>
          <w:sz w:val="24"/>
          <w:szCs w:val="24"/>
        </w:rPr>
        <w:t xml:space="preserve">The general fund does not have any restrictions as to its use. These reserves can be used to smooth the impact of uneven cash flows and is also held in case of unexpected events or emergencies. </w:t>
      </w:r>
    </w:p>
    <w:p w:rsidR="00D57FA2" w:rsidRDefault="00D57FA2" w:rsidP="00D57FA2">
      <w:pPr>
        <w:pStyle w:val="ListParagraph"/>
        <w:autoSpaceDE w:val="0"/>
        <w:autoSpaceDN w:val="0"/>
        <w:adjustRightInd w:val="0"/>
        <w:spacing w:after="0" w:line="240" w:lineRule="auto"/>
        <w:ind w:left="792"/>
        <w:rPr>
          <w:rFonts w:cstheme="minorHAnsi"/>
          <w:sz w:val="24"/>
          <w:szCs w:val="24"/>
        </w:rPr>
      </w:pPr>
    </w:p>
    <w:p w:rsidR="00D57FA2" w:rsidRDefault="0057271B" w:rsidP="00D57FA2">
      <w:pPr>
        <w:pStyle w:val="ListParagraph"/>
        <w:numPr>
          <w:ilvl w:val="1"/>
          <w:numId w:val="18"/>
        </w:numPr>
        <w:autoSpaceDE w:val="0"/>
        <w:autoSpaceDN w:val="0"/>
        <w:adjustRightInd w:val="0"/>
        <w:spacing w:after="0" w:line="240" w:lineRule="auto"/>
        <w:rPr>
          <w:rFonts w:cstheme="minorHAnsi"/>
          <w:sz w:val="24"/>
          <w:szCs w:val="24"/>
        </w:rPr>
      </w:pPr>
      <w:r w:rsidRPr="00D57FA2">
        <w:rPr>
          <w:rFonts w:cstheme="minorHAnsi"/>
          <w:sz w:val="24"/>
          <w:szCs w:val="24"/>
        </w:rPr>
        <w:lastRenderedPageBreak/>
        <w:t xml:space="preserve">The general fund balance is to be maintained at a minimum level of 6 months operational costs of the nett revenue expenditure, which may increase subject to an annual risk assessment carried out by the Responsible Financial Officer (RFO) when setting the budget for the forthcoming year. </w:t>
      </w:r>
    </w:p>
    <w:p w:rsidR="00D57FA2" w:rsidRPr="00D57FA2" w:rsidRDefault="00D57FA2" w:rsidP="00D57FA2">
      <w:pPr>
        <w:pStyle w:val="ListParagraph"/>
        <w:rPr>
          <w:rFonts w:cstheme="minorHAnsi"/>
          <w:sz w:val="24"/>
          <w:szCs w:val="24"/>
        </w:rPr>
      </w:pPr>
    </w:p>
    <w:p w:rsidR="00D57FA2" w:rsidRDefault="0057271B" w:rsidP="00D57FA2">
      <w:pPr>
        <w:pStyle w:val="ListParagraph"/>
        <w:numPr>
          <w:ilvl w:val="1"/>
          <w:numId w:val="18"/>
        </w:numPr>
        <w:autoSpaceDE w:val="0"/>
        <w:autoSpaceDN w:val="0"/>
        <w:adjustRightInd w:val="0"/>
        <w:spacing w:after="0" w:line="240" w:lineRule="auto"/>
        <w:rPr>
          <w:rFonts w:cstheme="minorHAnsi"/>
          <w:sz w:val="24"/>
          <w:szCs w:val="24"/>
        </w:rPr>
      </w:pPr>
      <w:r w:rsidRPr="00D57FA2">
        <w:rPr>
          <w:rFonts w:cstheme="minorHAnsi"/>
          <w:sz w:val="24"/>
          <w:szCs w:val="24"/>
        </w:rPr>
        <w:t xml:space="preserve">Any surplus in the reserve above the required balance may be used to fund capital expenditure, be appropriated to earmarked reserves or exceptionally used to limit any increase in the precept. </w:t>
      </w:r>
    </w:p>
    <w:p w:rsidR="00D57FA2" w:rsidRPr="00D57FA2" w:rsidRDefault="00D57FA2" w:rsidP="00D57FA2">
      <w:pPr>
        <w:pStyle w:val="ListParagraph"/>
        <w:rPr>
          <w:rFonts w:cstheme="minorHAnsi"/>
          <w:sz w:val="24"/>
          <w:szCs w:val="24"/>
        </w:rPr>
      </w:pPr>
    </w:p>
    <w:p w:rsidR="00D57FA2" w:rsidRPr="003376B8" w:rsidRDefault="0057271B" w:rsidP="00D57FA2">
      <w:pPr>
        <w:pStyle w:val="ListParagraph"/>
        <w:numPr>
          <w:ilvl w:val="0"/>
          <w:numId w:val="18"/>
        </w:numPr>
        <w:autoSpaceDE w:val="0"/>
        <w:autoSpaceDN w:val="0"/>
        <w:adjustRightInd w:val="0"/>
        <w:spacing w:after="0" w:line="240" w:lineRule="auto"/>
        <w:rPr>
          <w:rFonts w:cstheme="minorHAnsi"/>
          <w:b/>
          <w:bCs/>
          <w:sz w:val="28"/>
          <w:szCs w:val="28"/>
        </w:rPr>
      </w:pPr>
      <w:r w:rsidRPr="003376B8">
        <w:rPr>
          <w:rFonts w:cstheme="minorHAnsi"/>
          <w:b/>
          <w:bCs/>
          <w:sz w:val="28"/>
          <w:szCs w:val="28"/>
        </w:rPr>
        <w:t>Financial Risk Management</w:t>
      </w:r>
    </w:p>
    <w:p w:rsidR="00D57FA2" w:rsidRDefault="00D57FA2" w:rsidP="00D57FA2">
      <w:pPr>
        <w:pStyle w:val="ListParagraph"/>
        <w:autoSpaceDE w:val="0"/>
        <w:autoSpaceDN w:val="0"/>
        <w:adjustRightInd w:val="0"/>
        <w:spacing w:after="0" w:line="240" w:lineRule="auto"/>
        <w:ind w:left="360"/>
        <w:rPr>
          <w:rFonts w:cstheme="minorHAnsi"/>
          <w:sz w:val="24"/>
          <w:szCs w:val="24"/>
        </w:rPr>
      </w:pPr>
    </w:p>
    <w:p w:rsidR="00D57FA2" w:rsidRDefault="0057271B" w:rsidP="00D57FA2">
      <w:pPr>
        <w:pStyle w:val="ListParagraph"/>
        <w:numPr>
          <w:ilvl w:val="1"/>
          <w:numId w:val="18"/>
        </w:numPr>
        <w:autoSpaceDE w:val="0"/>
        <w:autoSpaceDN w:val="0"/>
        <w:adjustRightInd w:val="0"/>
        <w:spacing w:after="0" w:line="240" w:lineRule="auto"/>
        <w:rPr>
          <w:rFonts w:cstheme="minorHAnsi"/>
          <w:sz w:val="24"/>
          <w:szCs w:val="24"/>
        </w:rPr>
      </w:pPr>
      <w:r w:rsidRPr="00D57FA2">
        <w:rPr>
          <w:rFonts w:cstheme="minorHAnsi"/>
          <w:sz w:val="24"/>
          <w:szCs w:val="24"/>
        </w:rPr>
        <w:t xml:space="preserve">In order to assess the adequacy of the general fund when setting the annual budget, the RFO will take account of the strategic, operational and financial risks facing the Council. </w:t>
      </w:r>
    </w:p>
    <w:p w:rsidR="00D57FA2" w:rsidRDefault="00D57FA2" w:rsidP="00D57FA2">
      <w:pPr>
        <w:pStyle w:val="ListParagraph"/>
        <w:autoSpaceDE w:val="0"/>
        <w:autoSpaceDN w:val="0"/>
        <w:adjustRightInd w:val="0"/>
        <w:spacing w:after="0" w:line="240" w:lineRule="auto"/>
        <w:ind w:left="792"/>
        <w:rPr>
          <w:rFonts w:cstheme="minorHAnsi"/>
          <w:sz w:val="24"/>
          <w:szCs w:val="24"/>
        </w:rPr>
      </w:pPr>
    </w:p>
    <w:p w:rsidR="00D57FA2" w:rsidRDefault="0057271B" w:rsidP="00D57FA2">
      <w:pPr>
        <w:pStyle w:val="ListParagraph"/>
        <w:numPr>
          <w:ilvl w:val="1"/>
          <w:numId w:val="18"/>
        </w:numPr>
        <w:autoSpaceDE w:val="0"/>
        <w:autoSpaceDN w:val="0"/>
        <w:adjustRightInd w:val="0"/>
        <w:spacing w:after="0" w:line="240" w:lineRule="auto"/>
        <w:rPr>
          <w:rFonts w:cstheme="minorHAnsi"/>
          <w:sz w:val="24"/>
          <w:szCs w:val="24"/>
        </w:rPr>
      </w:pPr>
      <w:r w:rsidRPr="00D57FA2">
        <w:rPr>
          <w:rFonts w:cstheme="minorHAnsi"/>
          <w:sz w:val="24"/>
          <w:szCs w:val="24"/>
        </w:rPr>
        <w:t>The requirement of the level of the general fund balance for the forthcoming year will therefore be based upon a risk assessment of the Council’s main areas of income and expenditure and take into account any provisions and contingencies that may be required.</w:t>
      </w:r>
    </w:p>
    <w:p w:rsidR="00D57FA2" w:rsidRPr="00D57FA2" w:rsidRDefault="00D57FA2" w:rsidP="00D57FA2">
      <w:pPr>
        <w:pStyle w:val="ListParagraph"/>
        <w:rPr>
          <w:rFonts w:cstheme="minorHAnsi"/>
          <w:sz w:val="24"/>
          <w:szCs w:val="24"/>
        </w:rPr>
      </w:pPr>
    </w:p>
    <w:p w:rsidR="00D57FA2" w:rsidRDefault="0057271B" w:rsidP="00D57FA2">
      <w:pPr>
        <w:pStyle w:val="ListParagraph"/>
        <w:numPr>
          <w:ilvl w:val="1"/>
          <w:numId w:val="18"/>
        </w:numPr>
        <w:autoSpaceDE w:val="0"/>
        <w:autoSpaceDN w:val="0"/>
        <w:adjustRightInd w:val="0"/>
        <w:spacing w:after="0" w:line="240" w:lineRule="auto"/>
        <w:rPr>
          <w:rFonts w:cstheme="minorHAnsi"/>
          <w:sz w:val="24"/>
          <w:szCs w:val="24"/>
        </w:rPr>
      </w:pPr>
      <w:r w:rsidRPr="00D57FA2">
        <w:rPr>
          <w:rFonts w:cstheme="minorHAnsi"/>
          <w:sz w:val="24"/>
          <w:szCs w:val="24"/>
        </w:rPr>
        <w:t xml:space="preserve">The main items to be considered are: </w:t>
      </w:r>
    </w:p>
    <w:p w:rsidR="00D57FA2" w:rsidRDefault="00D57FA2" w:rsidP="00D57FA2">
      <w:pPr>
        <w:pStyle w:val="ListParagraph"/>
        <w:rPr>
          <w:rFonts w:cstheme="minorHAnsi"/>
          <w:sz w:val="24"/>
          <w:szCs w:val="24"/>
        </w:rPr>
      </w:pPr>
    </w:p>
    <w:tbl>
      <w:tblPr>
        <w:tblStyle w:val="TableGrid"/>
        <w:tblW w:w="0" w:type="auto"/>
        <w:tblInd w:w="720" w:type="dxa"/>
        <w:tblLook w:val="04A0" w:firstRow="1" w:lastRow="0" w:firstColumn="1" w:lastColumn="0" w:noHBand="0" w:noVBand="1"/>
      </w:tblPr>
      <w:tblGrid>
        <w:gridCol w:w="4630"/>
        <w:gridCol w:w="4618"/>
      </w:tblGrid>
      <w:tr w:rsidR="00D57FA2" w:rsidRPr="00D57FA2" w:rsidTr="00D57FA2">
        <w:tc>
          <w:tcPr>
            <w:tcW w:w="4984" w:type="dxa"/>
          </w:tcPr>
          <w:p w:rsidR="00D57FA2" w:rsidRPr="00D57FA2" w:rsidRDefault="00D57FA2" w:rsidP="00D57FA2">
            <w:pPr>
              <w:pStyle w:val="ListParagraph"/>
              <w:ind w:left="0"/>
              <w:rPr>
                <w:rFonts w:cstheme="minorHAnsi"/>
                <w:b/>
                <w:bCs/>
                <w:sz w:val="24"/>
                <w:szCs w:val="24"/>
              </w:rPr>
            </w:pPr>
            <w:r w:rsidRPr="00D57FA2">
              <w:rPr>
                <w:rFonts w:cstheme="minorHAnsi"/>
                <w:b/>
                <w:bCs/>
                <w:sz w:val="24"/>
                <w:szCs w:val="24"/>
              </w:rPr>
              <w:t>Financial Ris</w:t>
            </w:r>
            <w:r>
              <w:rPr>
                <w:rFonts w:cstheme="minorHAnsi"/>
                <w:b/>
                <w:bCs/>
                <w:sz w:val="24"/>
                <w:szCs w:val="24"/>
              </w:rPr>
              <w:t>k</w:t>
            </w:r>
          </w:p>
        </w:tc>
        <w:tc>
          <w:tcPr>
            <w:tcW w:w="4984" w:type="dxa"/>
          </w:tcPr>
          <w:p w:rsidR="00D57FA2" w:rsidRPr="00D57FA2" w:rsidRDefault="00D57FA2" w:rsidP="00D57FA2">
            <w:pPr>
              <w:pStyle w:val="ListParagraph"/>
              <w:ind w:left="0"/>
              <w:rPr>
                <w:rFonts w:cstheme="minorHAnsi"/>
                <w:b/>
                <w:bCs/>
                <w:sz w:val="24"/>
                <w:szCs w:val="24"/>
              </w:rPr>
            </w:pPr>
            <w:r w:rsidRPr="00D57FA2">
              <w:rPr>
                <w:rFonts w:cstheme="minorHAnsi"/>
                <w:b/>
                <w:bCs/>
                <w:sz w:val="24"/>
                <w:szCs w:val="24"/>
              </w:rPr>
              <w:t>Analysis of Risk</w:t>
            </w:r>
          </w:p>
        </w:tc>
      </w:tr>
      <w:tr w:rsidR="00D57FA2" w:rsidTr="00D57FA2">
        <w:tc>
          <w:tcPr>
            <w:tcW w:w="4984" w:type="dxa"/>
          </w:tcPr>
          <w:p w:rsidR="00D57FA2" w:rsidRDefault="00D57FA2" w:rsidP="00D57FA2">
            <w:pPr>
              <w:pStyle w:val="ListParagraph"/>
              <w:ind w:left="0"/>
              <w:rPr>
                <w:rFonts w:cstheme="minorHAnsi"/>
                <w:sz w:val="24"/>
                <w:szCs w:val="24"/>
              </w:rPr>
            </w:pPr>
            <w:r w:rsidRPr="00D57FA2">
              <w:rPr>
                <w:rFonts w:cstheme="minorHAnsi"/>
                <w:sz w:val="24"/>
                <w:szCs w:val="24"/>
              </w:rPr>
              <w:t>Pay inflation is greater than budgeted</w:t>
            </w:r>
          </w:p>
        </w:tc>
        <w:tc>
          <w:tcPr>
            <w:tcW w:w="4984" w:type="dxa"/>
          </w:tcPr>
          <w:p w:rsidR="00D57FA2" w:rsidRDefault="00D57FA2" w:rsidP="00D57FA2">
            <w:pPr>
              <w:pStyle w:val="ListParagraph"/>
              <w:ind w:left="0"/>
              <w:rPr>
                <w:rFonts w:cstheme="minorHAnsi"/>
                <w:sz w:val="24"/>
                <w:szCs w:val="24"/>
              </w:rPr>
            </w:pPr>
            <w:r w:rsidRPr="00D57FA2">
              <w:rPr>
                <w:rFonts w:cstheme="minorHAnsi"/>
                <w:sz w:val="24"/>
                <w:szCs w:val="24"/>
              </w:rPr>
              <w:t xml:space="preserve">The </w:t>
            </w:r>
            <w:r w:rsidR="003376B8" w:rsidRPr="00D57FA2">
              <w:rPr>
                <w:rFonts w:cstheme="minorHAnsi"/>
                <w:sz w:val="24"/>
                <w:szCs w:val="24"/>
              </w:rPr>
              <w:t>cost-of-living</w:t>
            </w:r>
            <w:r w:rsidRPr="00D57FA2">
              <w:rPr>
                <w:rFonts w:cstheme="minorHAnsi"/>
                <w:sz w:val="24"/>
                <w:szCs w:val="24"/>
              </w:rPr>
              <w:t xml:space="preserve"> increase is above the level allowed for in the estimates.</w:t>
            </w:r>
          </w:p>
        </w:tc>
      </w:tr>
      <w:tr w:rsidR="00D57FA2" w:rsidTr="00D57FA2">
        <w:tc>
          <w:tcPr>
            <w:tcW w:w="4984" w:type="dxa"/>
          </w:tcPr>
          <w:p w:rsidR="00D57FA2" w:rsidRDefault="00D57FA2" w:rsidP="00D57FA2">
            <w:pPr>
              <w:pStyle w:val="ListParagraph"/>
              <w:ind w:left="0"/>
              <w:rPr>
                <w:rFonts w:cstheme="minorHAnsi"/>
                <w:sz w:val="24"/>
                <w:szCs w:val="24"/>
              </w:rPr>
            </w:pPr>
            <w:r w:rsidRPr="00D57FA2">
              <w:rPr>
                <w:rFonts w:cstheme="minorHAnsi"/>
                <w:sz w:val="24"/>
                <w:szCs w:val="24"/>
              </w:rPr>
              <w:t>Contractual inflation is greater than budgeted</w:t>
            </w:r>
          </w:p>
        </w:tc>
        <w:tc>
          <w:tcPr>
            <w:tcW w:w="4984" w:type="dxa"/>
          </w:tcPr>
          <w:p w:rsidR="00D57FA2" w:rsidRDefault="00D57FA2" w:rsidP="00D57FA2">
            <w:pPr>
              <w:pStyle w:val="ListParagraph"/>
              <w:ind w:left="0"/>
              <w:rPr>
                <w:rFonts w:cstheme="minorHAnsi"/>
                <w:sz w:val="24"/>
                <w:szCs w:val="24"/>
              </w:rPr>
            </w:pPr>
            <w:r w:rsidRPr="00D57FA2">
              <w:rPr>
                <w:rFonts w:cstheme="minorHAnsi"/>
                <w:sz w:val="24"/>
                <w:szCs w:val="24"/>
              </w:rPr>
              <w:t>A general assumption is made when estimating the percentage increase on rates and utilities. This may increase above budgeted inflation.</w:t>
            </w:r>
            <w:r>
              <w:rPr>
                <w:rFonts w:cstheme="minorHAnsi"/>
                <w:sz w:val="24"/>
                <w:szCs w:val="24"/>
              </w:rPr>
              <w:t xml:space="preserve">  </w:t>
            </w:r>
            <w:r w:rsidRPr="00D57FA2">
              <w:rPr>
                <w:rFonts w:cstheme="minorHAnsi"/>
                <w:sz w:val="24"/>
                <w:szCs w:val="24"/>
              </w:rPr>
              <w:t>Professional and other services costs may increase above estimate</w:t>
            </w:r>
            <w:r>
              <w:rPr>
                <w:rFonts w:cstheme="minorHAnsi"/>
                <w:sz w:val="24"/>
                <w:szCs w:val="24"/>
              </w:rPr>
              <w:t>.</w:t>
            </w:r>
          </w:p>
        </w:tc>
      </w:tr>
      <w:tr w:rsidR="00D57FA2" w:rsidTr="00D57FA2">
        <w:tc>
          <w:tcPr>
            <w:tcW w:w="4984" w:type="dxa"/>
          </w:tcPr>
          <w:p w:rsidR="00D57FA2" w:rsidRDefault="00D57FA2" w:rsidP="00D57FA2">
            <w:pPr>
              <w:pStyle w:val="ListParagraph"/>
              <w:ind w:left="0"/>
              <w:rPr>
                <w:rFonts w:cstheme="minorHAnsi"/>
                <w:sz w:val="24"/>
                <w:szCs w:val="24"/>
              </w:rPr>
            </w:pPr>
            <w:r w:rsidRPr="00D57FA2">
              <w:rPr>
                <w:rFonts w:cstheme="minorHAnsi"/>
                <w:sz w:val="24"/>
                <w:szCs w:val="24"/>
              </w:rPr>
              <w:t>Treasury Management income is not achieved</w:t>
            </w:r>
          </w:p>
        </w:tc>
        <w:tc>
          <w:tcPr>
            <w:tcW w:w="4984" w:type="dxa"/>
          </w:tcPr>
          <w:p w:rsidR="00D57FA2" w:rsidRDefault="00D57FA2" w:rsidP="00D57FA2">
            <w:pPr>
              <w:pStyle w:val="ListParagraph"/>
              <w:ind w:left="0"/>
              <w:rPr>
                <w:rFonts w:cstheme="minorHAnsi"/>
                <w:sz w:val="24"/>
                <w:szCs w:val="24"/>
              </w:rPr>
            </w:pPr>
            <w:r w:rsidRPr="00D57FA2">
              <w:rPr>
                <w:rFonts w:cstheme="minorHAnsi"/>
                <w:sz w:val="24"/>
                <w:szCs w:val="24"/>
              </w:rPr>
              <w:t>The actual interest rate realised is below the rate predicted at budget</w:t>
            </w:r>
            <w:r>
              <w:rPr>
                <w:rFonts w:cstheme="minorHAnsi"/>
                <w:sz w:val="24"/>
                <w:szCs w:val="24"/>
              </w:rPr>
              <w:t>.</w:t>
            </w:r>
          </w:p>
        </w:tc>
      </w:tr>
      <w:tr w:rsidR="00D57FA2" w:rsidTr="00D57FA2">
        <w:tc>
          <w:tcPr>
            <w:tcW w:w="4984" w:type="dxa"/>
          </w:tcPr>
          <w:p w:rsidR="00D57FA2" w:rsidRPr="00D57FA2" w:rsidRDefault="00D57FA2" w:rsidP="00D57FA2">
            <w:pPr>
              <w:pStyle w:val="ListParagraph"/>
              <w:ind w:left="0"/>
              <w:rPr>
                <w:rFonts w:cstheme="minorHAnsi"/>
                <w:sz w:val="24"/>
                <w:szCs w:val="24"/>
              </w:rPr>
            </w:pPr>
            <w:r w:rsidRPr="00D57FA2">
              <w:rPr>
                <w:rFonts w:cstheme="minorHAnsi"/>
                <w:sz w:val="24"/>
                <w:szCs w:val="24"/>
              </w:rPr>
              <w:t>All Income from fees and charges is lower than budgeted</w:t>
            </w:r>
          </w:p>
        </w:tc>
        <w:tc>
          <w:tcPr>
            <w:tcW w:w="4984" w:type="dxa"/>
          </w:tcPr>
          <w:p w:rsidR="00D57FA2" w:rsidRPr="00D57FA2" w:rsidRDefault="00D57FA2" w:rsidP="00D57FA2">
            <w:pPr>
              <w:pStyle w:val="ListParagraph"/>
              <w:ind w:left="0"/>
              <w:rPr>
                <w:rFonts w:cstheme="minorHAnsi"/>
                <w:sz w:val="24"/>
                <w:szCs w:val="24"/>
              </w:rPr>
            </w:pPr>
            <w:r w:rsidRPr="00D57FA2">
              <w:rPr>
                <w:rFonts w:cstheme="minorHAnsi"/>
                <w:sz w:val="24"/>
                <w:szCs w:val="24"/>
              </w:rPr>
              <w:t>That a decrease in revenue is realised from estimate</w:t>
            </w:r>
            <w:r>
              <w:rPr>
                <w:rFonts w:cstheme="minorHAnsi"/>
                <w:sz w:val="24"/>
                <w:szCs w:val="24"/>
              </w:rPr>
              <w:t>.</w:t>
            </w:r>
          </w:p>
        </w:tc>
      </w:tr>
      <w:tr w:rsidR="00D57FA2" w:rsidTr="00D57FA2">
        <w:tc>
          <w:tcPr>
            <w:tcW w:w="4984" w:type="dxa"/>
          </w:tcPr>
          <w:p w:rsidR="00D57FA2" w:rsidRPr="00D57FA2" w:rsidRDefault="00D57FA2" w:rsidP="00D57FA2">
            <w:pPr>
              <w:pStyle w:val="ListParagraph"/>
              <w:ind w:left="0"/>
              <w:rPr>
                <w:rFonts w:cstheme="minorHAnsi"/>
                <w:sz w:val="24"/>
                <w:szCs w:val="24"/>
              </w:rPr>
            </w:pPr>
            <w:r w:rsidRPr="00D57FA2">
              <w:rPr>
                <w:rFonts w:cstheme="minorHAnsi"/>
                <w:sz w:val="24"/>
                <w:szCs w:val="24"/>
              </w:rPr>
              <w:t>Contingent liabilities are realised</w:t>
            </w:r>
          </w:p>
        </w:tc>
        <w:tc>
          <w:tcPr>
            <w:tcW w:w="4984" w:type="dxa"/>
          </w:tcPr>
          <w:p w:rsidR="00D57FA2" w:rsidRPr="00D57FA2" w:rsidRDefault="00D57FA2" w:rsidP="00D57FA2">
            <w:pPr>
              <w:autoSpaceDE w:val="0"/>
              <w:autoSpaceDN w:val="0"/>
              <w:adjustRightInd w:val="0"/>
              <w:rPr>
                <w:rFonts w:cstheme="minorHAnsi"/>
                <w:sz w:val="24"/>
                <w:szCs w:val="24"/>
              </w:rPr>
            </w:pPr>
            <w:r w:rsidRPr="00D57FA2">
              <w:rPr>
                <w:rFonts w:cstheme="minorHAnsi"/>
                <w:sz w:val="24"/>
                <w:szCs w:val="24"/>
              </w:rPr>
              <w:t>That the Council becomes liable to pay contingent liabilities</w:t>
            </w:r>
            <w:r>
              <w:rPr>
                <w:rFonts w:cstheme="minorHAnsi"/>
                <w:sz w:val="24"/>
                <w:szCs w:val="24"/>
              </w:rPr>
              <w:t>.</w:t>
            </w:r>
          </w:p>
        </w:tc>
      </w:tr>
    </w:tbl>
    <w:p w:rsidR="00D57FA2" w:rsidRPr="00D57FA2" w:rsidRDefault="00D57FA2" w:rsidP="00D57FA2">
      <w:pPr>
        <w:pStyle w:val="ListParagraph"/>
        <w:rPr>
          <w:rFonts w:cstheme="minorHAnsi"/>
          <w:sz w:val="24"/>
          <w:szCs w:val="24"/>
        </w:rPr>
      </w:pPr>
    </w:p>
    <w:p w:rsidR="00D57FA2" w:rsidRPr="003376B8" w:rsidRDefault="0057271B" w:rsidP="00D57FA2">
      <w:pPr>
        <w:pStyle w:val="ListParagraph"/>
        <w:numPr>
          <w:ilvl w:val="0"/>
          <w:numId w:val="18"/>
        </w:numPr>
        <w:autoSpaceDE w:val="0"/>
        <w:autoSpaceDN w:val="0"/>
        <w:adjustRightInd w:val="0"/>
        <w:spacing w:after="0" w:line="240" w:lineRule="auto"/>
        <w:rPr>
          <w:rFonts w:cstheme="minorHAnsi"/>
          <w:b/>
          <w:bCs/>
          <w:sz w:val="28"/>
          <w:szCs w:val="28"/>
        </w:rPr>
      </w:pPr>
      <w:r w:rsidRPr="003376B8">
        <w:rPr>
          <w:rFonts w:cstheme="minorHAnsi"/>
          <w:b/>
          <w:bCs/>
          <w:sz w:val="28"/>
          <w:szCs w:val="28"/>
        </w:rPr>
        <w:t>Earmarked Reserves</w:t>
      </w:r>
    </w:p>
    <w:p w:rsidR="00D57FA2" w:rsidRDefault="00D57FA2" w:rsidP="00D57FA2">
      <w:pPr>
        <w:pStyle w:val="ListParagraph"/>
        <w:autoSpaceDE w:val="0"/>
        <w:autoSpaceDN w:val="0"/>
        <w:adjustRightInd w:val="0"/>
        <w:spacing w:after="0" w:line="240" w:lineRule="auto"/>
        <w:ind w:left="360"/>
        <w:rPr>
          <w:rFonts w:cstheme="minorHAnsi"/>
          <w:sz w:val="24"/>
          <w:szCs w:val="24"/>
        </w:rPr>
      </w:pPr>
    </w:p>
    <w:p w:rsidR="003376B8" w:rsidRDefault="0057271B" w:rsidP="00D57FA2">
      <w:pPr>
        <w:pStyle w:val="ListParagraph"/>
        <w:numPr>
          <w:ilvl w:val="1"/>
          <w:numId w:val="18"/>
        </w:numPr>
        <w:autoSpaceDE w:val="0"/>
        <w:autoSpaceDN w:val="0"/>
        <w:adjustRightInd w:val="0"/>
        <w:spacing w:after="0" w:line="240" w:lineRule="auto"/>
        <w:rPr>
          <w:rFonts w:cstheme="minorHAnsi"/>
          <w:sz w:val="24"/>
          <w:szCs w:val="24"/>
        </w:rPr>
      </w:pPr>
      <w:r w:rsidRPr="00D57FA2">
        <w:rPr>
          <w:rFonts w:cstheme="minorHAnsi"/>
          <w:sz w:val="24"/>
          <w:szCs w:val="24"/>
        </w:rPr>
        <w:t xml:space="preserve">Earmarked reserves represent amounts that are generally built up over a period of time which are earmarked for specific items of expenditure to meet known or anticipated liabilities or projects. The ‘setting aside’ of funds to meet known future expenditure reduces the impact of meeting the full expenditure in one year. </w:t>
      </w:r>
    </w:p>
    <w:p w:rsidR="003376B8" w:rsidRDefault="003376B8" w:rsidP="003376B8">
      <w:pPr>
        <w:pStyle w:val="ListParagraph"/>
        <w:autoSpaceDE w:val="0"/>
        <w:autoSpaceDN w:val="0"/>
        <w:adjustRightInd w:val="0"/>
        <w:spacing w:after="0" w:line="240" w:lineRule="auto"/>
        <w:ind w:left="792"/>
        <w:rPr>
          <w:rFonts w:cstheme="minorHAnsi"/>
          <w:sz w:val="24"/>
          <w:szCs w:val="24"/>
        </w:rPr>
      </w:pPr>
    </w:p>
    <w:p w:rsidR="003376B8" w:rsidRDefault="0057271B" w:rsidP="00D57FA2">
      <w:pPr>
        <w:pStyle w:val="ListParagraph"/>
        <w:numPr>
          <w:ilvl w:val="1"/>
          <w:numId w:val="18"/>
        </w:numPr>
        <w:autoSpaceDE w:val="0"/>
        <w:autoSpaceDN w:val="0"/>
        <w:adjustRightInd w:val="0"/>
        <w:spacing w:after="0" w:line="240" w:lineRule="auto"/>
        <w:rPr>
          <w:rFonts w:cstheme="minorHAnsi"/>
          <w:sz w:val="24"/>
          <w:szCs w:val="24"/>
        </w:rPr>
      </w:pPr>
      <w:r w:rsidRPr="00D57FA2">
        <w:rPr>
          <w:rFonts w:cstheme="minorHAnsi"/>
          <w:sz w:val="24"/>
          <w:szCs w:val="24"/>
        </w:rPr>
        <w:t xml:space="preserve">The Council, when establishing an earmarked reserve, will set out: </w:t>
      </w:r>
    </w:p>
    <w:p w:rsidR="003376B8" w:rsidRDefault="003376B8" w:rsidP="003376B8">
      <w:pPr>
        <w:pStyle w:val="ListParagraph"/>
      </w:pPr>
    </w:p>
    <w:p w:rsidR="003376B8" w:rsidRDefault="0057271B" w:rsidP="003376B8">
      <w:pPr>
        <w:pStyle w:val="ListParagraph"/>
        <w:autoSpaceDE w:val="0"/>
        <w:autoSpaceDN w:val="0"/>
        <w:adjustRightInd w:val="0"/>
        <w:spacing w:after="0" w:line="240" w:lineRule="auto"/>
        <w:ind w:left="1134" w:hanging="170"/>
        <w:rPr>
          <w:rFonts w:cstheme="minorHAnsi"/>
          <w:sz w:val="24"/>
          <w:szCs w:val="24"/>
        </w:rPr>
      </w:pPr>
      <w:r w:rsidRPr="0057271B">
        <w:sym w:font="Symbol" w:char="F0B7"/>
      </w:r>
      <w:r w:rsidRPr="00D57FA2">
        <w:rPr>
          <w:rFonts w:cstheme="minorHAnsi"/>
          <w:sz w:val="24"/>
          <w:szCs w:val="24"/>
        </w:rPr>
        <w:t xml:space="preserve"> The reason / purpose of the reserve - Renewals – to enable services to plan and finance an effective programme of vehicle, equipment and infrastructure replacement and planned </w:t>
      </w:r>
      <w:r w:rsidRPr="00D57FA2">
        <w:rPr>
          <w:rFonts w:cstheme="minorHAnsi"/>
          <w:sz w:val="24"/>
          <w:szCs w:val="24"/>
        </w:rPr>
        <w:lastRenderedPageBreak/>
        <w:t xml:space="preserve">property maintenance. These reserves are a mechanism to smooth expenditure so that a sensible replacement programme can be achieved without the need to vary budgets. </w:t>
      </w:r>
    </w:p>
    <w:p w:rsidR="003376B8" w:rsidRDefault="0057271B" w:rsidP="003376B8">
      <w:pPr>
        <w:pStyle w:val="ListParagraph"/>
        <w:autoSpaceDE w:val="0"/>
        <w:autoSpaceDN w:val="0"/>
        <w:adjustRightInd w:val="0"/>
        <w:spacing w:after="0" w:line="240" w:lineRule="auto"/>
        <w:ind w:left="1134" w:hanging="170"/>
        <w:rPr>
          <w:rFonts w:cstheme="minorHAnsi"/>
          <w:sz w:val="24"/>
          <w:szCs w:val="24"/>
        </w:rPr>
      </w:pPr>
      <w:r w:rsidRPr="0057271B">
        <w:sym w:font="Symbol" w:char="F0B7"/>
      </w:r>
      <w:r w:rsidRPr="00D57FA2">
        <w:rPr>
          <w:rFonts w:cstheme="minorHAnsi"/>
          <w:sz w:val="24"/>
          <w:szCs w:val="24"/>
        </w:rPr>
        <w:t xml:space="preserve"> Carry forward of underspend - some services commit expenditure to projects but cannot spend the budget in year. Reserves are used as a mechanism to carry forward these resources. Such use will be specifically authorised by the Council as part of the normal year-end procedures. </w:t>
      </w:r>
    </w:p>
    <w:p w:rsidR="003376B8" w:rsidRDefault="0057271B" w:rsidP="003376B8">
      <w:pPr>
        <w:pStyle w:val="ListParagraph"/>
        <w:autoSpaceDE w:val="0"/>
        <w:autoSpaceDN w:val="0"/>
        <w:adjustRightInd w:val="0"/>
        <w:spacing w:after="0" w:line="240" w:lineRule="auto"/>
        <w:ind w:left="1134" w:hanging="170"/>
        <w:rPr>
          <w:rFonts w:cstheme="minorHAnsi"/>
          <w:sz w:val="24"/>
          <w:szCs w:val="24"/>
        </w:rPr>
      </w:pPr>
      <w:r w:rsidRPr="0057271B">
        <w:sym w:font="Symbol" w:char="F0B7"/>
      </w:r>
      <w:r w:rsidRPr="00D57FA2">
        <w:rPr>
          <w:rFonts w:cstheme="minorHAnsi"/>
          <w:sz w:val="24"/>
          <w:szCs w:val="24"/>
        </w:rPr>
        <w:t xml:space="preserve"> Any decision to set up a reserve must be made by the Council. </w:t>
      </w:r>
    </w:p>
    <w:p w:rsidR="003376B8" w:rsidRDefault="0057271B" w:rsidP="003376B8">
      <w:pPr>
        <w:pStyle w:val="ListParagraph"/>
        <w:autoSpaceDE w:val="0"/>
        <w:autoSpaceDN w:val="0"/>
        <w:adjustRightInd w:val="0"/>
        <w:spacing w:after="0" w:line="240" w:lineRule="auto"/>
        <w:ind w:left="1134" w:hanging="170"/>
        <w:rPr>
          <w:rFonts w:cstheme="minorHAnsi"/>
          <w:sz w:val="24"/>
          <w:szCs w:val="24"/>
        </w:rPr>
      </w:pPr>
      <w:r w:rsidRPr="0057271B">
        <w:sym w:font="Symbol" w:char="F0B7"/>
      </w:r>
      <w:r w:rsidRPr="00D57FA2">
        <w:rPr>
          <w:rFonts w:cstheme="minorHAnsi"/>
          <w:sz w:val="24"/>
          <w:szCs w:val="24"/>
        </w:rPr>
        <w:t xml:space="preserve"> Expenditure from reserves can only be authorised by the Council but may be reflected in the budget for the subsequent year. </w:t>
      </w:r>
    </w:p>
    <w:p w:rsidR="003376B8" w:rsidRDefault="0057271B" w:rsidP="003376B8">
      <w:pPr>
        <w:pStyle w:val="ListParagraph"/>
        <w:autoSpaceDE w:val="0"/>
        <w:autoSpaceDN w:val="0"/>
        <w:adjustRightInd w:val="0"/>
        <w:spacing w:after="0" w:line="240" w:lineRule="auto"/>
        <w:ind w:left="1134" w:hanging="170"/>
        <w:rPr>
          <w:rFonts w:cstheme="minorHAnsi"/>
          <w:sz w:val="24"/>
          <w:szCs w:val="24"/>
        </w:rPr>
      </w:pPr>
      <w:r w:rsidRPr="0057271B">
        <w:sym w:font="Symbol" w:char="F0B7"/>
      </w:r>
      <w:r w:rsidRPr="00D57FA2">
        <w:rPr>
          <w:rFonts w:cstheme="minorHAnsi"/>
          <w:sz w:val="24"/>
          <w:szCs w:val="24"/>
        </w:rPr>
        <w:t xml:space="preserve"> Procedures for the management and control of the reserve; a process and timescale for review of the reserve to ensure continuing relevance and adequacy. </w:t>
      </w:r>
    </w:p>
    <w:p w:rsidR="003376B8" w:rsidRDefault="0057271B" w:rsidP="003376B8">
      <w:pPr>
        <w:pStyle w:val="ListParagraph"/>
        <w:autoSpaceDE w:val="0"/>
        <w:autoSpaceDN w:val="0"/>
        <w:adjustRightInd w:val="0"/>
        <w:spacing w:after="0" w:line="240" w:lineRule="auto"/>
        <w:ind w:left="1134" w:hanging="170"/>
        <w:rPr>
          <w:rFonts w:cstheme="minorHAnsi"/>
          <w:sz w:val="24"/>
          <w:szCs w:val="24"/>
        </w:rPr>
      </w:pPr>
      <w:r w:rsidRPr="0057271B">
        <w:sym w:font="Symbol" w:char="F0B7"/>
      </w:r>
      <w:r w:rsidRPr="00D57FA2">
        <w:rPr>
          <w:rFonts w:cstheme="minorHAnsi"/>
          <w:sz w:val="24"/>
          <w:szCs w:val="24"/>
        </w:rPr>
        <w:t xml:space="preserve"> Other earmarked reserves may be set up from time to time, throughout the financial year to meet known or predicted liabilities. </w:t>
      </w:r>
    </w:p>
    <w:p w:rsidR="003376B8" w:rsidRDefault="003376B8" w:rsidP="003376B8">
      <w:pPr>
        <w:pStyle w:val="ListParagraph"/>
        <w:autoSpaceDE w:val="0"/>
        <w:autoSpaceDN w:val="0"/>
        <w:adjustRightInd w:val="0"/>
        <w:spacing w:after="0" w:line="240" w:lineRule="auto"/>
        <w:ind w:left="792"/>
        <w:rPr>
          <w:rFonts w:cstheme="minorHAnsi"/>
          <w:sz w:val="24"/>
          <w:szCs w:val="24"/>
        </w:rPr>
      </w:pPr>
    </w:p>
    <w:p w:rsidR="003376B8" w:rsidRPr="003376B8" w:rsidRDefault="0057271B" w:rsidP="003376B8">
      <w:pPr>
        <w:pStyle w:val="ListParagraph"/>
        <w:numPr>
          <w:ilvl w:val="0"/>
          <w:numId w:val="18"/>
        </w:numPr>
        <w:autoSpaceDE w:val="0"/>
        <w:autoSpaceDN w:val="0"/>
        <w:adjustRightInd w:val="0"/>
        <w:spacing w:after="0" w:line="240" w:lineRule="auto"/>
        <w:rPr>
          <w:rFonts w:cstheme="minorHAnsi"/>
          <w:b/>
          <w:bCs/>
          <w:sz w:val="24"/>
          <w:szCs w:val="24"/>
        </w:rPr>
      </w:pPr>
      <w:r w:rsidRPr="003376B8">
        <w:rPr>
          <w:rFonts w:cstheme="minorHAnsi"/>
          <w:b/>
          <w:bCs/>
          <w:sz w:val="24"/>
          <w:szCs w:val="24"/>
        </w:rPr>
        <w:t>Current level of financial reserves</w:t>
      </w:r>
    </w:p>
    <w:p w:rsidR="003376B8" w:rsidRDefault="003376B8" w:rsidP="003376B8">
      <w:pPr>
        <w:pStyle w:val="ListParagraph"/>
        <w:autoSpaceDE w:val="0"/>
        <w:autoSpaceDN w:val="0"/>
        <w:adjustRightInd w:val="0"/>
        <w:spacing w:after="0" w:line="240" w:lineRule="auto"/>
        <w:ind w:left="360"/>
        <w:rPr>
          <w:rFonts w:cstheme="minorHAnsi"/>
          <w:sz w:val="24"/>
          <w:szCs w:val="24"/>
        </w:rPr>
      </w:pPr>
    </w:p>
    <w:p w:rsidR="003376B8" w:rsidRDefault="0057271B" w:rsidP="003376B8">
      <w:pPr>
        <w:pStyle w:val="ListParagraph"/>
        <w:numPr>
          <w:ilvl w:val="1"/>
          <w:numId w:val="18"/>
        </w:numPr>
        <w:autoSpaceDE w:val="0"/>
        <w:autoSpaceDN w:val="0"/>
        <w:adjustRightInd w:val="0"/>
        <w:spacing w:after="0" w:line="240" w:lineRule="auto"/>
        <w:rPr>
          <w:rFonts w:cstheme="minorHAnsi"/>
          <w:sz w:val="24"/>
          <w:szCs w:val="24"/>
        </w:rPr>
      </w:pPr>
      <w:r w:rsidRPr="00D57FA2">
        <w:rPr>
          <w:rFonts w:cstheme="minorHAnsi"/>
          <w:sz w:val="24"/>
          <w:szCs w:val="24"/>
        </w:rPr>
        <w:t xml:space="preserve">The level of financial reserves held by the council will be agreed by the Parish Council during the discussions held regarding the setting of the budget in January for the next financial year, and as far as practicable be retained consistently from year to year. </w:t>
      </w:r>
    </w:p>
    <w:p w:rsidR="003376B8" w:rsidRDefault="003376B8" w:rsidP="003376B8">
      <w:pPr>
        <w:pStyle w:val="ListParagraph"/>
        <w:autoSpaceDE w:val="0"/>
        <w:autoSpaceDN w:val="0"/>
        <w:adjustRightInd w:val="0"/>
        <w:spacing w:after="0" w:line="240" w:lineRule="auto"/>
        <w:ind w:left="792"/>
        <w:rPr>
          <w:rFonts w:cstheme="minorHAnsi"/>
          <w:sz w:val="24"/>
          <w:szCs w:val="24"/>
        </w:rPr>
      </w:pPr>
    </w:p>
    <w:p w:rsidR="003376B8" w:rsidRPr="003376B8" w:rsidRDefault="0057271B" w:rsidP="003376B8">
      <w:pPr>
        <w:pStyle w:val="ListParagraph"/>
        <w:numPr>
          <w:ilvl w:val="1"/>
          <w:numId w:val="18"/>
        </w:numPr>
        <w:autoSpaceDE w:val="0"/>
        <w:autoSpaceDN w:val="0"/>
        <w:adjustRightInd w:val="0"/>
        <w:spacing w:after="0" w:line="240" w:lineRule="auto"/>
        <w:rPr>
          <w:rFonts w:cstheme="minorHAnsi"/>
          <w:sz w:val="24"/>
          <w:szCs w:val="24"/>
        </w:rPr>
      </w:pPr>
      <w:r w:rsidRPr="00D57FA2">
        <w:rPr>
          <w:rFonts w:cstheme="minorHAnsi"/>
          <w:sz w:val="24"/>
          <w:szCs w:val="24"/>
        </w:rPr>
        <w:t xml:space="preserve">The level of general reserves to ultimately be held by the Parish Council is a minimum level of 6 months operational costs of the nett revenue expenditure. </w:t>
      </w:r>
    </w:p>
    <w:sectPr w:rsidR="003376B8" w:rsidRPr="003376B8" w:rsidSect="00D57FA2">
      <w:headerReference w:type="even" r:id="rId10"/>
      <w:headerReference w:type="default" r:id="rId11"/>
      <w:footerReference w:type="default" r:id="rId12"/>
      <w:headerReference w:type="first" r:id="rId13"/>
      <w:footerReference w:type="first" r:id="rId14"/>
      <w:pgSz w:w="11906" w:h="16838" w:code="9"/>
      <w:pgMar w:top="1134" w:right="907" w:bottom="765" w:left="102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472A" w:rsidRDefault="00E7472A" w:rsidP="006975AF">
      <w:pPr>
        <w:spacing w:after="0" w:line="240" w:lineRule="auto"/>
      </w:pPr>
      <w:r>
        <w:separator/>
      </w:r>
    </w:p>
  </w:endnote>
  <w:endnote w:type="continuationSeparator" w:id="0">
    <w:p w:rsidR="00E7472A" w:rsidRDefault="00E7472A" w:rsidP="0069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00647"/>
      <w:docPartObj>
        <w:docPartGallery w:val="Page Numbers (Bottom of Page)"/>
        <w:docPartUnique/>
      </w:docPartObj>
    </w:sdtPr>
    <w:sdtContent>
      <w:sdt>
        <w:sdtPr>
          <w:id w:val="440259919"/>
          <w:docPartObj>
            <w:docPartGallery w:val="Page Numbers (Top of Page)"/>
            <w:docPartUnique/>
          </w:docPartObj>
        </w:sdtPr>
        <w:sdtContent>
          <w:p w:rsidR="00A63028" w:rsidRDefault="00A63028">
            <w:pPr>
              <w:pStyle w:val="Footer"/>
              <w:jc w:val="center"/>
            </w:pPr>
            <w:r>
              <w:t xml:space="preserve">Edith Weston Parish Council </w:t>
            </w:r>
            <w:r w:rsidR="00D57FA2">
              <w:t>Reserves</w:t>
            </w:r>
            <w:r>
              <w:t xml:space="preserve"> Policy – approved June 2023</w:t>
            </w:r>
            <w:r w:rsidR="000E6A34">
              <w:t>, minute no:</w:t>
            </w:r>
          </w:p>
          <w:p w:rsidR="000A7C80" w:rsidRDefault="000A7C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A7C80" w:rsidRDefault="000A7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113027"/>
      <w:docPartObj>
        <w:docPartGallery w:val="Page Numbers (Bottom of Page)"/>
        <w:docPartUnique/>
      </w:docPartObj>
    </w:sdtPr>
    <w:sdtContent>
      <w:sdt>
        <w:sdtPr>
          <w:id w:val="1728636285"/>
          <w:docPartObj>
            <w:docPartGallery w:val="Page Numbers (Top of Page)"/>
            <w:docPartUnique/>
          </w:docPartObj>
        </w:sdtPr>
        <w:sdtContent>
          <w:p w:rsidR="000A7C80" w:rsidRDefault="000A7C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A7C80" w:rsidRDefault="000A7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472A" w:rsidRDefault="00E7472A" w:rsidP="006975AF">
      <w:pPr>
        <w:spacing w:after="0" w:line="240" w:lineRule="auto"/>
      </w:pPr>
      <w:r>
        <w:separator/>
      </w:r>
    </w:p>
  </w:footnote>
  <w:footnote w:type="continuationSeparator" w:id="0">
    <w:p w:rsidR="00E7472A" w:rsidRDefault="00E7472A" w:rsidP="0069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355" w:rsidRDefault="00ED2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355" w:rsidRDefault="00ED2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C80" w:rsidRDefault="00000000" w:rsidP="000A7C80">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45pt;margin-top:14.85pt;width:105.65pt;height:104.4pt;z-index:251659264;mso-wrap-edited:f" filled="t" fillcolor="#9c0">
          <v:imagedata r:id="rId1" o:title=""/>
          <w10:wrap type="square"/>
        </v:shape>
        <o:OLEObject Type="Embed" ProgID="PBrush" ShapeID="_x0000_s1026" DrawAspect="Content" ObjectID="_1748773770" r:id="rId2"/>
      </w:object>
    </w:r>
  </w:p>
  <w:p w:rsidR="000A7C80" w:rsidRDefault="000A7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4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663127"/>
    <w:multiLevelType w:val="hybridMultilevel"/>
    <w:tmpl w:val="B4D26A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0F2C50"/>
    <w:multiLevelType w:val="multilevel"/>
    <w:tmpl w:val="541C2D9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504555"/>
    <w:multiLevelType w:val="hybridMultilevel"/>
    <w:tmpl w:val="18D27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683FDA"/>
    <w:multiLevelType w:val="hybridMultilevel"/>
    <w:tmpl w:val="A9885D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A303D7"/>
    <w:multiLevelType w:val="multilevel"/>
    <w:tmpl w:val="4D508C9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3F1925"/>
    <w:multiLevelType w:val="hybridMultilevel"/>
    <w:tmpl w:val="8D7679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002C04"/>
    <w:multiLevelType w:val="hybridMultilevel"/>
    <w:tmpl w:val="8748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394F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91499C"/>
    <w:multiLevelType w:val="hybridMultilevel"/>
    <w:tmpl w:val="3FF4F8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6765AD"/>
    <w:multiLevelType w:val="hybridMultilevel"/>
    <w:tmpl w:val="99A004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630C1F"/>
    <w:multiLevelType w:val="hybridMultilevel"/>
    <w:tmpl w:val="595A55FC"/>
    <w:lvl w:ilvl="0" w:tplc="8810416C">
      <w:start w:val="2"/>
      <w:numFmt w:val="bullet"/>
      <w:lvlText w:val=""/>
      <w:lvlJc w:val="left"/>
      <w:pPr>
        <w:ind w:left="720" w:hanging="360"/>
      </w:pPr>
      <w:rPr>
        <w:rFonts w:ascii="Calibri" w:eastAsia="CIDFont+F4"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56D20"/>
    <w:multiLevelType w:val="multilevel"/>
    <w:tmpl w:val="9170D9CC"/>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C901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E70C07"/>
    <w:multiLevelType w:val="hybridMultilevel"/>
    <w:tmpl w:val="72023EC6"/>
    <w:lvl w:ilvl="0" w:tplc="99061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3A113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9332BC"/>
    <w:multiLevelType w:val="hybridMultilevel"/>
    <w:tmpl w:val="0F685B9E"/>
    <w:lvl w:ilvl="0" w:tplc="8810416C">
      <w:start w:val="2"/>
      <w:numFmt w:val="bullet"/>
      <w:lvlText w:val=""/>
      <w:lvlJc w:val="left"/>
      <w:pPr>
        <w:ind w:left="720" w:hanging="360"/>
      </w:pPr>
      <w:rPr>
        <w:rFonts w:ascii="Calibri" w:eastAsia="CIDFont+F4"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02E2F"/>
    <w:multiLevelType w:val="hybridMultilevel"/>
    <w:tmpl w:val="E05E04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295797"/>
    <w:multiLevelType w:val="hybridMultilevel"/>
    <w:tmpl w:val="0C64B9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EE3389F"/>
    <w:multiLevelType w:val="hybridMultilevel"/>
    <w:tmpl w:val="3C641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2708E3"/>
    <w:multiLevelType w:val="hybridMultilevel"/>
    <w:tmpl w:val="2BE66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7073A5"/>
    <w:multiLevelType w:val="hybridMultilevel"/>
    <w:tmpl w:val="7B84EFD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D3D62C5"/>
    <w:multiLevelType w:val="hybridMultilevel"/>
    <w:tmpl w:val="DE4C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196269">
    <w:abstractNumId w:val="19"/>
  </w:num>
  <w:num w:numId="2" w16cid:durableId="1236084106">
    <w:abstractNumId w:val="18"/>
  </w:num>
  <w:num w:numId="3" w16cid:durableId="391544468">
    <w:abstractNumId w:val="17"/>
  </w:num>
  <w:num w:numId="4" w16cid:durableId="1921910428">
    <w:abstractNumId w:val="9"/>
  </w:num>
  <w:num w:numId="5" w16cid:durableId="330259543">
    <w:abstractNumId w:val="10"/>
  </w:num>
  <w:num w:numId="6" w16cid:durableId="506016708">
    <w:abstractNumId w:val="4"/>
  </w:num>
  <w:num w:numId="7" w16cid:durableId="1591620766">
    <w:abstractNumId w:val="14"/>
  </w:num>
  <w:num w:numId="8" w16cid:durableId="837884188">
    <w:abstractNumId w:val="22"/>
  </w:num>
  <w:num w:numId="9" w16cid:durableId="1008555375">
    <w:abstractNumId w:val="11"/>
  </w:num>
  <w:num w:numId="10" w16cid:durableId="1789592137">
    <w:abstractNumId w:val="16"/>
  </w:num>
  <w:num w:numId="11" w16cid:durableId="1406798395">
    <w:abstractNumId w:val="21"/>
  </w:num>
  <w:num w:numId="12" w16cid:durableId="1791045068">
    <w:abstractNumId w:val="3"/>
  </w:num>
  <w:num w:numId="13" w16cid:durableId="213932632">
    <w:abstractNumId w:val="7"/>
  </w:num>
  <w:num w:numId="14" w16cid:durableId="1640264028">
    <w:abstractNumId w:val="6"/>
  </w:num>
  <w:num w:numId="15" w16cid:durableId="788546932">
    <w:abstractNumId w:val="8"/>
  </w:num>
  <w:num w:numId="16" w16cid:durableId="515459881">
    <w:abstractNumId w:val="5"/>
  </w:num>
  <w:num w:numId="17" w16cid:durableId="422186369">
    <w:abstractNumId w:val="12"/>
  </w:num>
  <w:num w:numId="18" w16cid:durableId="231622878">
    <w:abstractNumId w:val="2"/>
  </w:num>
  <w:num w:numId="19" w16cid:durableId="846407490">
    <w:abstractNumId w:val="15"/>
  </w:num>
  <w:num w:numId="20" w16cid:durableId="699671527">
    <w:abstractNumId w:val="0"/>
  </w:num>
  <w:num w:numId="21" w16cid:durableId="545216382">
    <w:abstractNumId w:val="13"/>
  </w:num>
  <w:num w:numId="22" w16cid:durableId="2006008493">
    <w:abstractNumId w:val="1"/>
  </w:num>
  <w:num w:numId="23" w16cid:durableId="10571625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47"/>
    <w:rsid w:val="00096EB7"/>
    <w:rsid w:val="000A7C80"/>
    <w:rsid w:val="000E6A34"/>
    <w:rsid w:val="00115639"/>
    <w:rsid w:val="003067F5"/>
    <w:rsid w:val="00312F4A"/>
    <w:rsid w:val="003376B8"/>
    <w:rsid w:val="003D77AA"/>
    <w:rsid w:val="003E3352"/>
    <w:rsid w:val="004024F7"/>
    <w:rsid w:val="00452E4B"/>
    <w:rsid w:val="0057271B"/>
    <w:rsid w:val="005C1D1D"/>
    <w:rsid w:val="005D2E54"/>
    <w:rsid w:val="00680622"/>
    <w:rsid w:val="006975AF"/>
    <w:rsid w:val="00740165"/>
    <w:rsid w:val="00881462"/>
    <w:rsid w:val="008A10C1"/>
    <w:rsid w:val="00932B37"/>
    <w:rsid w:val="009A1100"/>
    <w:rsid w:val="00A63028"/>
    <w:rsid w:val="00B47F51"/>
    <w:rsid w:val="00B727F2"/>
    <w:rsid w:val="00BF629B"/>
    <w:rsid w:val="00CD3FC5"/>
    <w:rsid w:val="00D03E39"/>
    <w:rsid w:val="00D57FA2"/>
    <w:rsid w:val="00E620E6"/>
    <w:rsid w:val="00E7472A"/>
    <w:rsid w:val="00ED2355"/>
    <w:rsid w:val="00ED2847"/>
    <w:rsid w:val="00F22177"/>
    <w:rsid w:val="00F67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AE905992-5FDF-4C5F-A4D9-3AF93468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639"/>
    <w:rPr>
      <w:color w:val="0563C1" w:themeColor="hyperlink"/>
      <w:u w:val="single"/>
    </w:rPr>
  </w:style>
  <w:style w:type="character" w:styleId="UnresolvedMention">
    <w:name w:val="Unresolved Mention"/>
    <w:basedOn w:val="DefaultParagraphFont"/>
    <w:uiPriority w:val="99"/>
    <w:semiHidden/>
    <w:unhideWhenUsed/>
    <w:rsid w:val="00115639"/>
    <w:rPr>
      <w:color w:val="605E5C"/>
      <w:shd w:val="clear" w:color="auto" w:fill="E1DFDD"/>
    </w:rPr>
  </w:style>
  <w:style w:type="paragraph" w:styleId="ListParagraph">
    <w:name w:val="List Paragraph"/>
    <w:basedOn w:val="Normal"/>
    <w:uiPriority w:val="34"/>
    <w:qFormat/>
    <w:rsid w:val="00115639"/>
    <w:pPr>
      <w:ind w:left="720"/>
      <w:contextualSpacing/>
    </w:pPr>
  </w:style>
  <w:style w:type="paragraph" w:styleId="Header">
    <w:name w:val="header"/>
    <w:basedOn w:val="Normal"/>
    <w:link w:val="HeaderChar"/>
    <w:uiPriority w:val="99"/>
    <w:unhideWhenUsed/>
    <w:rsid w:val="00697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5AF"/>
  </w:style>
  <w:style w:type="paragraph" w:styleId="Footer">
    <w:name w:val="footer"/>
    <w:basedOn w:val="Normal"/>
    <w:link w:val="FooterChar"/>
    <w:uiPriority w:val="99"/>
    <w:unhideWhenUsed/>
    <w:rsid w:val="00697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5AF"/>
  </w:style>
  <w:style w:type="paragraph" w:styleId="EndnoteText">
    <w:name w:val="endnote text"/>
    <w:basedOn w:val="Normal"/>
    <w:link w:val="EndnoteTextChar"/>
    <w:uiPriority w:val="99"/>
    <w:semiHidden/>
    <w:unhideWhenUsed/>
    <w:rsid w:val="00932B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B37"/>
    <w:rPr>
      <w:sz w:val="20"/>
      <w:szCs w:val="20"/>
    </w:rPr>
  </w:style>
  <w:style w:type="character" w:styleId="EndnoteReference">
    <w:name w:val="endnote reference"/>
    <w:basedOn w:val="DefaultParagraphFont"/>
    <w:uiPriority w:val="99"/>
    <w:semiHidden/>
    <w:unhideWhenUsed/>
    <w:rsid w:val="00932B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136D-2308-46BE-B47E-AB5C7CF3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Gwilliam</dc:creator>
  <cp:keywords/>
  <dc:description/>
  <cp:lastModifiedBy>Sara Glover</cp:lastModifiedBy>
  <cp:revision>4</cp:revision>
  <cp:lastPrinted>2023-06-20T12:38:00Z</cp:lastPrinted>
  <dcterms:created xsi:type="dcterms:W3CDTF">2023-06-13T14:16:00Z</dcterms:created>
  <dcterms:modified xsi:type="dcterms:W3CDTF">2023-06-20T12:43:00Z</dcterms:modified>
</cp:coreProperties>
</file>